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2C6C" w:rsidRPr="00F32C6C" w:rsidRDefault="00F32C6C" w:rsidP="002A7CE4">
      <w:pPr>
        <w:spacing w:line="360" w:lineRule="auto"/>
        <w:jc w:val="both"/>
        <w:rPr>
          <w:rFonts w:cstheme="minorHAnsi"/>
          <w:b/>
          <w:sz w:val="24"/>
          <w:szCs w:val="24"/>
        </w:rPr>
      </w:pPr>
      <w:bookmarkStart w:id="0" w:name="_GoBack"/>
      <w:bookmarkEnd w:id="0"/>
      <w:r w:rsidRPr="00F32C6C">
        <w:rPr>
          <w:rFonts w:cstheme="minorHAnsi"/>
          <w:b/>
          <w:sz w:val="24"/>
          <w:szCs w:val="24"/>
        </w:rPr>
        <w:t>IPOTESI LETTERA PER FATTISPECIE PREZZARIO RIFERITO AD ANNUALITA’ ANTECEDENTE 2021 E NON E’ STATO ADOTTATO PREZZARIO 2021</w:t>
      </w:r>
    </w:p>
    <w:p w:rsidR="00F32C6C" w:rsidRPr="00F32C6C" w:rsidRDefault="00F32C6C" w:rsidP="002A7CE4">
      <w:pPr>
        <w:spacing w:line="360" w:lineRule="auto"/>
        <w:jc w:val="both"/>
        <w:rPr>
          <w:rFonts w:cstheme="minorHAnsi"/>
          <w:b/>
          <w:sz w:val="24"/>
          <w:szCs w:val="24"/>
        </w:rPr>
      </w:pPr>
    </w:p>
    <w:p w:rsidR="002F2334" w:rsidRPr="002A7CE4" w:rsidRDefault="0067230D" w:rsidP="002A7CE4">
      <w:pPr>
        <w:spacing w:line="360" w:lineRule="auto"/>
        <w:jc w:val="both"/>
        <w:rPr>
          <w:rFonts w:cstheme="minorHAnsi"/>
          <w:sz w:val="24"/>
          <w:szCs w:val="24"/>
        </w:rPr>
      </w:pPr>
      <w:r w:rsidRPr="002A7CE4">
        <w:rPr>
          <w:rFonts w:cstheme="minorHAnsi"/>
          <w:sz w:val="24"/>
          <w:szCs w:val="24"/>
        </w:rPr>
        <w:t>Premesso che</w:t>
      </w:r>
    </w:p>
    <w:p w:rsidR="006C5718" w:rsidRPr="002A7CE4" w:rsidRDefault="0067230D" w:rsidP="002A7CE4">
      <w:pPr>
        <w:pStyle w:val="Paragrafoelenco"/>
        <w:numPr>
          <w:ilvl w:val="0"/>
          <w:numId w:val="1"/>
        </w:numPr>
        <w:spacing w:line="360" w:lineRule="auto"/>
        <w:jc w:val="both"/>
        <w:rPr>
          <w:rFonts w:cstheme="minorHAnsi"/>
          <w:sz w:val="24"/>
          <w:szCs w:val="24"/>
        </w:rPr>
      </w:pPr>
      <w:r w:rsidRPr="002A7CE4">
        <w:rPr>
          <w:rFonts w:cstheme="minorHAnsi"/>
          <w:sz w:val="24"/>
          <w:szCs w:val="24"/>
        </w:rPr>
        <w:t>Il Governo ha recentemente adottato il Decreto Legge 50/2022 con cui ha riconosciuto l’esistenza di un eccezionale incremento dei costi delle materie prime impiegate negli appalti dei contratti pubblici introducendo misure compensative volte a ripristinare l’equilibrio contrattuale per i lavori</w:t>
      </w:r>
      <w:r w:rsidR="002A7CE4" w:rsidRPr="002A7CE4">
        <w:rPr>
          <w:rFonts w:cstheme="minorHAnsi"/>
          <w:sz w:val="24"/>
          <w:szCs w:val="24"/>
        </w:rPr>
        <w:t xml:space="preserve"> eseguiti, </w:t>
      </w:r>
      <w:r w:rsidRPr="002A7CE4">
        <w:rPr>
          <w:rFonts w:cstheme="minorHAnsi"/>
          <w:sz w:val="24"/>
          <w:szCs w:val="24"/>
        </w:rPr>
        <w:t>contabilizzati</w:t>
      </w:r>
      <w:r w:rsidR="002A7CE4" w:rsidRPr="002A7CE4">
        <w:rPr>
          <w:rFonts w:cstheme="minorHAnsi"/>
          <w:sz w:val="24"/>
          <w:szCs w:val="24"/>
        </w:rPr>
        <w:t xml:space="preserve"> o comunque allibrati</w:t>
      </w:r>
      <w:r w:rsidR="004843A2" w:rsidRPr="002A7CE4">
        <w:rPr>
          <w:rFonts w:cstheme="minorHAnsi"/>
          <w:sz w:val="24"/>
          <w:szCs w:val="24"/>
        </w:rPr>
        <w:t xml:space="preserve"> dal 1 gennaio 2022 al 31 dicembre 2022</w:t>
      </w:r>
    </w:p>
    <w:p w:rsidR="002E136E" w:rsidRPr="002A7CE4" w:rsidRDefault="006C5718" w:rsidP="002A7CE4">
      <w:pPr>
        <w:pStyle w:val="Paragrafoelenco"/>
        <w:numPr>
          <w:ilvl w:val="0"/>
          <w:numId w:val="1"/>
        </w:numPr>
        <w:spacing w:line="360" w:lineRule="auto"/>
        <w:jc w:val="both"/>
        <w:rPr>
          <w:rFonts w:cstheme="minorHAnsi"/>
          <w:sz w:val="24"/>
          <w:szCs w:val="24"/>
        </w:rPr>
      </w:pPr>
      <w:r w:rsidRPr="002A7CE4">
        <w:rPr>
          <w:rFonts w:cstheme="minorHAnsi"/>
          <w:sz w:val="24"/>
          <w:szCs w:val="24"/>
        </w:rPr>
        <w:t>Il predetto decreto prevede, come ipotesi primaria, all’art.26, comma 2, l’adeguamento dei prezzari regionali</w:t>
      </w:r>
      <w:r w:rsidR="002E136E" w:rsidRPr="002A7CE4">
        <w:rPr>
          <w:rFonts w:cstheme="minorHAnsi"/>
          <w:sz w:val="24"/>
          <w:szCs w:val="24"/>
        </w:rPr>
        <w:t>, secondo le linee guida</w:t>
      </w:r>
      <w:r w:rsidRPr="002A7CE4">
        <w:rPr>
          <w:rFonts w:cstheme="minorHAnsi"/>
          <w:sz w:val="24"/>
          <w:szCs w:val="24"/>
        </w:rPr>
        <w:t xml:space="preserve"> da adottarsi tramite apposito decreto del MIMS, entro il 31 luglio 2022 e, nelle more del predetto aggiornamento, l’adozione da parte delle singole stazioni appaltanti di un incremento fino 20% delle risultanze dei prezzari regionali</w:t>
      </w:r>
      <w:r w:rsidR="002A7CE4" w:rsidRPr="002A7CE4">
        <w:rPr>
          <w:rFonts w:cstheme="minorHAnsi"/>
          <w:sz w:val="24"/>
          <w:szCs w:val="24"/>
        </w:rPr>
        <w:t xml:space="preserve"> aggiornati</w:t>
      </w:r>
      <w:r w:rsidR="002E136E" w:rsidRPr="002A7CE4">
        <w:rPr>
          <w:rFonts w:cstheme="minorHAnsi"/>
          <w:sz w:val="24"/>
          <w:szCs w:val="24"/>
        </w:rPr>
        <w:t xml:space="preserve"> al 31.12.2021 (in tal senso l’art.26, comma 3, del </w:t>
      </w:r>
      <w:proofErr w:type="spellStart"/>
      <w:r w:rsidR="002E136E" w:rsidRPr="002A7CE4">
        <w:rPr>
          <w:rFonts w:cstheme="minorHAnsi"/>
          <w:sz w:val="24"/>
          <w:szCs w:val="24"/>
        </w:rPr>
        <w:t>dlgs</w:t>
      </w:r>
      <w:proofErr w:type="spellEnd"/>
      <w:r w:rsidR="002E136E" w:rsidRPr="002A7CE4">
        <w:rPr>
          <w:rFonts w:cstheme="minorHAnsi"/>
          <w:sz w:val="24"/>
          <w:szCs w:val="24"/>
        </w:rPr>
        <w:t xml:space="preserve"> 50/2022)</w:t>
      </w:r>
    </w:p>
    <w:p w:rsidR="002E136E" w:rsidRPr="002A7CE4" w:rsidRDefault="002E136E" w:rsidP="002A7CE4">
      <w:pPr>
        <w:spacing w:line="360" w:lineRule="auto"/>
        <w:jc w:val="both"/>
        <w:rPr>
          <w:rFonts w:cstheme="minorHAnsi"/>
          <w:sz w:val="24"/>
          <w:szCs w:val="24"/>
        </w:rPr>
      </w:pPr>
      <w:r w:rsidRPr="002A7CE4">
        <w:rPr>
          <w:rFonts w:cstheme="minorHAnsi"/>
          <w:sz w:val="24"/>
          <w:szCs w:val="24"/>
        </w:rPr>
        <w:t>Considerato che</w:t>
      </w:r>
    </w:p>
    <w:p w:rsidR="002E136E" w:rsidRPr="002A7CE4" w:rsidRDefault="002E136E" w:rsidP="002A7CE4">
      <w:pPr>
        <w:pStyle w:val="Paragrafoelenco"/>
        <w:numPr>
          <w:ilvl w:val="0"/>
          <w:numId w:val="1"/>
        </w:numPr>
        <w:spacing w:line="360" w:lineRule="auto"/>
        <w:jc w:val="both"/>
        <w:rPr>
          <w:rFonts w:cstheme="minorHAnsi"/>
          <w:sz w:val="24"/>
          <w:szCs w:val="24"/>
        </w:rPr>
      </w:pPr>
      <w:r w:rsidRPr="002A7CE4">
        <w:rPr>
          <w:rFonts w:cstheme="minorHAnsi"/>
          <w:sz w:val="24"/>
          <w:szCs w:val="24"/>
        </w:rPr>
        <w:t xml:space="preserve">La situazione di eccezionale incremento delle materie prime impiegate negli appalti di contratti pubblici di lavori, peraltro soggetta ad una progressiva accentuazione col decorso del tempo, impone un’immediata applicazione delle previsioni del </w:t>
      </w:r>
      <w:proofErr w:type="spellStart"/>
      <w:r w:rsidRPr="002A7CE4">
        <w:rPr>
          <w:rFonts w:cstheme="minorHAnsi"/>
          <w:sz w:val="24"/>
          <w:szCs w:val="24"/>
        </w:rPr>
        <w:t>Dlgs</w:t>
      </w:r>
      <w:proofErr w:type="spellEnd"/>
      <w:r w:rsidRPr="002A7CE4">
        <w:rPr>
          <w:rFonts w:cstheme="minorHAnsi"/>
          <w:sz w:val="24"/>
          <w:szCs w:val="24"/>
        </w:rPr>
        <w:t xml:space="preserve"> 50/2022</w:t>
      </w:r>
    </w:p>
    <w:p w:rsidR="002E136E" w:rsidRPr="002A7CE4" w:rsidRDefault="002E136E" w:rsidP="002A7CE4">
      <w:pPr>
        <w:pStyle w:val="Paragrafoelenco"/>
        <w:numPr>
          <w:ilvl w:val="0"/>
          <w:numId w:val="1"/>
        </w:numPr>
        <w:spacing w:line="360" w:lineRule="auto"/>
        <w:jc w:val="both"/>
        <w:rPr>
          <w:rFonts w:cstheme="minorHAnsi"/>
          <w:sz w:val="24"/>
          <w:szCs w:val="24"/>
        </w:rPr>
      </w:pPr>
      <w:r w:rsidRPr="002A7CE4">
        <w:rPr>
          <w:rFonts w:cstheme="minorHAnsi"/>
          <w:sz w:val="24"/>
          <w:szCs w:val="24"/>
        </w:rPr>
        <w:t>Nelle more dell</w:t>
      </w:r>
      <w:r w:rsidR="00A9046C" w:rsidRPr="002A7CE4">
        <w:rPr>
          <w:rFonts w:cstheme="minorHAnsi"/>
          <w:sz w:val="24"/>
          <w:szCs w:val="24"/>
        </w:rPr>
        <w:t xml:space="preserve">’aggiornamento dei prezzari ai sensi dell’art.26, comma 2, del </w:t>
      </w:r>
      <w:proofErr w:type="spellStart"/>
      <w:r w:rsidR="00A9046C" w:rsidRPr="002A7CE4">
        <w:rPr>
          <w:rFonts w:cstheme="minorHAnsi"/>
          <w:sz w:val="24"/>
          <w:szCs w:val="24"/>
        </w:rPr>
        <w:t>Dlgs</w:t>
      </w:r>
      <w:proofErr w:type="spellEnd"/>
      <w:r w:rsidR="00A9046C" w:rsidRPr="002A7CE4">
        <w:rPr>
          <w:rFonts w:cstheme="minorHAnsi"/>
          <w:sz w:val="24"/>
          <w:szCs w:val="24"/>
        </w:rPr>
        <w:t xml:space="preserve"> 50/2022, è necessario che le singole stazioni appaltanti diano attuazione al dinanzi citato comma 3 del medesimo articolo, provvedendo ad incrementare sino alla soglia percentuale del 20% i prezzari regionali impiegati per compens</w:t>
      </w:r>
      <w:r w:rsidR="00370A4E">
        <w:rPr>
          <w:rFonts w:cstheme="minorHAnsi"/>
          <w:sz w:val="24"/>
          <w:szCs w:val="24"/>
        </w:rPr>
        <w:t>are l’appalto</w:t>
      </w:r>
    </w:p>
    <w:p w:rsidR="00A9046C" w:rsidRPr="002A7CE4" w:rsidRDefault="00A9046C" w:rsidP="002A7CE4">
      <w:pPr>
        <w:pStyle w:val="Paragrafoelenco"/>
        <w:numPr>
          <w:ilvl w:val="0"/>
          <w:numId w:val="1"/>
        </w:numPr>
        <w:spacing w:line="360" w:lineRule="auto"/>
        <w:jc w:val="both"/>
        <w:rPr>
          <w:rFonts w:cstheme="minorHAnsi"/>
          <w:sz w:val="24"/>
          <w:szCs w:val="24"/>
        </w:rPr>
      </w:pPr>
      <w:r w:rsidRPr="002A7CE4">
        <w:rPr>
          <w:rFonts w:cstheme="minorHAnsi"/>
          <w:sz w:val="24"/>
          <w:szCs w:val="24"/>
        </w:rPr>
        <w:t xml:space="preserve">Nella specie, il prezzario regionale adottato per compensare l’appalto risale </w:t>
      </w:r>
      <w:proofErr w:type="gramStart"/>
      <w:r w:rsidRPr="002A7CE4">
        <w:rPr>
          <w:rFonts w:cstheme="minorHAnsi"/>
          <w:sz w:val="24"/>
          <w:szCs w:val="24"/>
        </w:rPr>
        <w:t>all’annualità….</w:t>
      </w:r>
      <w:proofErr w:type="gramEnd"/>
      <w:r w:rsidRPr="002A7CE4">
        <w:rPr>
          <w:rFonts w:cstheme="minorHAnsi"/>
          <w:sz w:val="24"/>
          <w:szCs w:val="24"/>
        </w:rPr>
        <w:t>e, nel frattempo, non si è proceduto all’</w:t>
      </w:r>
      <w:r w:rsidR="002A7CE4" w:rsidRPr="002A7CE4">
        <w:rPr>
          <w:rFonts w:cstheme="minorHAnsi"/>
          <w:sz w:val="24"/>
          <w:szCs w:val="24"/>
        </w:rPr>
        <w:t>aggiornamento</w:t>
      </w:r>
      <w:r w:rsidRPr="002A7CE4">
        <w:rPr>
          <w:rFonts w:cstheme="minorHAnsi"/>
          <w:sz w:val="24"/>
          <w:szCs w:val="24"/>
        </w:rPr>
        <w:t xml:space="preserve"> del prezzario alla data del 31 dicembre 2021</w:t>
      </w:r>
    </w:p>
    <w:p w:rsidR="00A9046C" w:rsidRPr="002A7CE4" w:rsidRDefault="00A9046C" w:rsidP="002A7CE4">
      <w:pPr>
        <w:pStyle w:val="Paragrafoelenco"/>
        <w:numPr>
          <w:ilvl w:val="0"/>
          <w:numId w:val="1"/>
        </w:numPr>
        <w:spacing w:line="360" w:lineRule="auto"/>
        <w:jc w:val="both"/>
        <w:rPr>
          <w:rFonts w:cstheme="minorHAnsi"/>
          <w:sz w:val="24"/>
          <w:szCs w:val="24"/>
        </w:rPr>
      </w:pPr>
      <w:r w:rsidRPr="002A7CE4">
        <w:rPr>
          <w:rFonts w:cstheme="minorHAnsi"/>
          <w:sz w:val="24"/>
          <w:szCs w:val="24"/>
        </w:rPr>
        <w:t xml:space="preserve">Il prezzario regionale, per l’effetto, appare particolarmente incongruo in relazione del mancato aggiornamento all’annualità 2021 e, quindi, risulta necessario per </w:t>
      </w:r>
      <w:proofErr w:type="spellStart"/>
      <w:r w:rsidRPr="002A7CE4">
        <w:rPr>
          <w:rFonts w:cstheme="minorHAnsi"/>
          <w:sz w:val="24"/>
          <w:szCs w:val="24"/>
        </w:rPr>
        <w:t>tabulas</w:t>
      </w:r>
      <w:proofErr w:type="spellEnd"/>
      <w:r w:rsidRPr="002A7CE4">
        <w:rPr>
          <w:rFonts w:cstheme="minorHAnsi"/>
          <w:sz w:val="24"/>
          <w:szCs w:val="24"/>
        </w:rPr>
        <w:t xml:space="preserve"> che l’incremento del medesimo avvenga nella misura massima del 20% prevista dall’art.26, comma 3, del </w:t>
      </w:r>
      <w:proofErr w:type="spellStart"/>
      <w:r w:rsidRPr="002A7CE4">
        <w:rPr>
          <w:rFonts w:cstheme="minorHAnsi"/>
          <w:sz w:val="24"/>
          <w:szCs w:val="24"/>
        </w:rPr>
        <w:t>dlgs</w:t>
      </w:r>
      <w:proofErr w:type="spellEnd"/>
      <w:r w:rsidRPr="002A7CE4">
        <w:rPr>
          <w:rFonts w:cstheme="minorHAnsi"/>
          <w:sz w:val="24"/>
          <w:szCs w:val="24"/>
        </w:rPr>
        <w:t xml:space="preserve"> 50/2022</w:t>
      </w:r>
    </w:p>
    <w:p w:rsidR="00A9046C" w:rsidRPr="002A7CE4" w:rsidRDefault="00A9046C" w:rsidP="002A7CE4">
      <w:pPr>
        <w:spacing w:line="360" w:lineRule="auto"/>
        <w:jc w:val="both"/>
        <w:rPr>
          <w:rFonts w:cstheme="minorHAnsi"/>
          <w:sz w:val="24"/>
          <w:szCs w:val="24"/>
        </w:rPr>
      </w:pPr>
      <w:r w:rsidRPr="002A7CE4">
        <w:rPr>
          <w:rFonts w:cstheme="minorHAnsi"/>
          <w:sz w:val="24"/>
          <w:szCs w:val="24"/>
        </w:rPr>
        <w:t>Tutto ciò premesso e considerato</w:t>
      </w:r>
    </w:p>
    <w:p w:rsidR="00A9046C" w:rsidRPr="002A7CE4" w:rsidRDefault="00A9046C" w:rsidP="002A7CE4">
      <w:pPr>
        <w:spacing w:line="360" w:lineRule="auto"/>
        <w:jc w:val="both"/>
        <w:rPr>
          <w:rFonts w:cstheme="minorHAnsi"/>
          <w:sz w:val="24"/>
          <w:szCs w:val="24"/>
        </w:rPr>
      </w:pPr>
      <w:r w:rsidRPr="002A7CE4">
        <w:rPr>
          <w:rFonts w:cstheme="minorHAnsi"/>
          <w:sz w:val="24"/>
          <w:szCs w:val="24"/>
        </w:rPr>
        <w:lastRenderedPageBreak/>
        <w:t>Si formula i</w:t>
      </w:r>
      <w:r w:rsidR="002F1FA6" w:rsidRPr="002A7CE4">
        <w:rPr>
          <w:rFonts w:cstheme="minorHAnsi"/>
          <w:sz w:val="24"/>
          <w:szCs w:val="24"/>
        </w:rPr>
        <w:t>s</w:t>
      </w:r>
      <w:r w:rsidRPr="002A7CE4">
        <w:rPr>
          <w:rFonts w:cstheme="minorHAnsi"/>
          <w:sz w:val="24"/>
          <w:szCs w:val="24"/>
        </w:rPr>
        <w:t>tanza af</w:t>
      </w:r>
      <w:r w:rsidR="002F1FA6" w:rsidRPr="002A7CE4">
        <w:rPr>
          <w:rFonts w:cstheme="minorHAnsi"/>
          <w:sz w:val="24"/>
          <w:szCs w:val="24"/>
        </w:rPr>
        <w:t>finché</w:t>
      </w:r>
      <w:r w:rsidRPr="002A7CE4">
        <w:rPr>
          <w:rFonts w:cstheme="minorHAnsi"/>
          <w:sz w:val="24"/>
          <w:szCs w:val="24"/>
        </w:rPr>
        <w:t xml:space="preserve"> la stazione appaltante in indirizzo proceda senza</w:t>
      </w:r>
      <w:r w:rsidR="002F1FA6" w:rsidRPr="002A7CE4">
        <w:rPr>
          <w:rFonts w:cstheme="minorHAnsi"/>
          <w:sz w:val="24"/>
          <w:szCs w:val="24"/>
        </w:rPr>
        <w:t xml:space="preserve"> indugio, in sede di corresponsione del corrispettivo dell’appaltatore nel rispetto delle tempistiche previste</w:t>
      </w:r>
      <w:r w:rsidR="002A7CE4" w:rsidRPr="002A7CE4">
        <w:rPr>
          <w:rFonts w:cstheme="minorHAnsi"/>
          <w:sz w:val="24"/>
          <w:szCs w:val="24"/>
        </w:rPr>
        <w:t xml:space="preserve"> dall’art.26, comma 1, del </w:t>
      </w:r>
      <w:proofErr w:type="spellStart"/>
      <w:r w:rsidR="002A7CE4" w:rsidRPr="002A7CE4">
        <w:rPr>
          <w:rFonts w:cstheme="minorHAnsi"/>
          <w:sz w:val="24"/>
          <w:szCs w:val="24"/>
        </w:rPr>
        <w:t>dlgs</w:t>
      </w:r>
      <w:proofErr w:type="spellEnd"/>
      <w:r w:rsidR="002A7CE4" w:rsidRPr="002A7CE4">
        <w:rPr>
          <w:rFonts w:cstheme="minorHAnsi"/>
          <w:sz w:val="24"/>
          <w:szCs w:val="24"/>
        </w:rPr>
        <w:t xml:space="preserve"> 50/2022, all’adozione dell’incremento del prezzario utilizzato per compensare l’appalto, per quanto sopra osservato, nella misura massima pre</w:t>
      </w:r>
      <w:r w:rsidR="00346B53">
        <w:rPr>
          <w:rFonts w:cstheme="minorHAnsi"/>
          <w:sz w:val="24"/>
          <w:szCs w:val="24"/>
        </w:rPr>
        <w:t>vista dall’articolo 26</w:t>
      </w:r>
      <w:r w:rsidR="005E3301">
        <w:rPr>
          <w:rFonts w:cstheme="minorHAnsi"/>
          <w:sz w:val="24"/>
          <w:szCs w:val="24"/>
        </w:rPr>
        <w:t xml:space="preserve">, comma 3, </w:t>
      </w:r>
      <w:r w:rsidR="002A7CE4" w:rsidRPr="002A7CE4">
        <w:rPr>
          <w:rFonts w:cstheme="minorHAnsi"/>
          <w:sz w:val="24"/>
          <w:szCs w:val="24"/>
        </w:rPr>
        <w:t xml:space="preserve">del </w:t>
      </w:r>
      <w:proofErr w:type="spellStart"/>
      <w:r w:rsidR="002A7CE4" w:rsidRPr="002A7CE4">
        <w:rPr>
          <w:rFonts w:cstheme="minorHAnsi"/>
          <w:sz w:val="24"/>
          <w:szCs w:val="24"/>
        </w:rPr>
        <w:t>dlgs</w:t>
      </w:r>
      <w:proofErr w:type="spellEnd"/>
      <w:r w:rsidR="005E3301">
        <w:rPr>
          <w:rFonts w:cstheme="minorHAnsi"/>
          <w:sz w:val="24"/>
          <w:szCs w:val="24"/>
        </w:rPr>
        <w:t xml:space="preserve"> </w:t>
      </w:r>
      <w:r w:rsidR="002A7CE4" w:rsidRPr="002A7CE4">
        <w:rPr>
          <w:rFonts w:cstheme="minorHAnsi"/>
          <w:sz w:val="24"/>
          <w:szCs w:val="24"/>
        </w:rPr>
        <w:t>50/2022</w:t>
      </w:r>
    </w:p>
    <w:sectPr w:rsidR="00A9046C" w:rsidRPr="002A7CE4" w:rsidSect="00845840">
      <w:pgSz w:w="11906" w:h="16838"/>
      <w:pgMar w:top="1418"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2C74F9"/>
    <w:multiLevelType w:val="hybridMultilevel"/>
    <w:tmpl w:val="0680DD72"/>
    <w:lvl w:ilvl="0" w:tplc="989E4EE4">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hyphenationZone w:val="283"/>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30D"/>
    <w:rsid w:val="002A7CE4"/>
    <w:rsid w:val="002E136E"/>
    <w:rsid w:val="002F1FA6"/>
    <w:rsid w:val="002F2334"/>
    <w:rsid w:val="00346B53"/>
    <w:rsid w:val="00370A4E"/>
    <w:rsid w:val="004843A2"/>
    <w:rsid w:val="005E3301"/>
    <w:rsid w:val="0067230D"/>
    <w:rsid w:val="006C5718"/>
    <w:rsid w:val="00716462"/>
    <w:rsid w:val="00845840"/>
    <w:rsid w:val="00A9046C"/>
    <w:rsid w:val="00AF0463"/>
    <w:rsid w:val="00F32C6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F36291-2D88-4111-8366-657DDC8B7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723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370</Words>
  <Characters>2114</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Celata Gianluca</dc:creator>
  <cp:keywords/>
  <dc:description/>
  <cp:lastModifiedBy>Celata Gianluca</cp:lastModifiedBy>
  <cp:revision>2</cp:revision>
  <dcterms:created xsi:type="dcterms:W3CDTF">2022-05-20T13:14:00Z</dcterms:created>
  <dcterms:modified xsi:type="dcterms:W3CDTF">2022-05-20T13:14:00Z</dcterms:modified>
</cp:coreProperties>
</file>